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69CF7" w14:textId="77777777" w:rsidR="00E80161" w:rsidRDefault="00E80161">
      <w:pPr>
        <w:pStyle w:val="ConsPlusNonformat"/>
        <w:jc w:val="both"/>
      </w:pPr>
      <w:bookmarkStart w:id="0" w:name="_GoBack"/>
      <w:bookmarkEnd w:id="0"/>
      <w:r>
        <w:t xml:space="preserve">                                                        УТВЕРЖДЕНО</w:t>
      </w:r>
    </w:p>
    <w:p w14:paraId="7F109A93" w14:textId="77777777" w:rsidR="00E80161" w:rsidRDefault="00E80161">
      <w:pPr>
        <w:pStyle w:val="ConsPlusNonformat"/>
        <w:jc w:val="both"/>
      </w:pPr>
      <w:r>
        <w:t xml:space="preserve">                                                        Решение</w:t>
      </w:r>
    </w:p>
    <w:p w14:paraId="3B06FA81" w14:textId="77777777" w:rsidR="00E80161" w:rsidRDefault="00E80161">
      <w:pPr>
        <w:pStyle w:val="ConsPlusNonformat"/>
        <w:jc w:val="both"/>
      </w:pPr>
      <w:r>
        <w:t xml:space="preserve">                                                        Минского городского</w:t>
      </w:r>
    </w:p>
    <w:p w14:paraId="15C4FF82" w14:textId="77777777" w:rsidR="00E80161" w:rsidRDefault="00E80161">
      <w:pPr>
        <w:pStyle w:val="ConsPlusNonformat"/>
        <w:jc w:val="both"/>
      </w:pPr>
      <w:r>
        <w:t xml:space="preserve">                                                        Совета депутатов</w:t>
      </w:r>
    </w:p>
    <w:p w14:paraId="418ACD22" w14:textId="77777777" w:rsidR="00E80161" w:rsidRDefault="00E80161">
      <w:pPr>
        <w:pStyle w:val="ConsPlusNonformat"/>
        <w:jc w:val="both"/>
      </w:pPr>
      <w:r>
        <w:t xml:space="preserve">                                                        10.06.2011 N 142</w:t>
      </w:r>
    </w:p>
    <w:p w14:paraId="04EC5FF5" w14:textId="77777777" w:rsidR="00E80161" w:rsidRDefault="00E80161">
      <w:pPr>
        <w:pStyle w:val="ConsPlusNonformat"/>
        <w:jc w:val="both"/>
      </w:pPr>
      <w:r>
        <w:t xml:space="preserve">                                                        (в редакции решения</w:t>
      </w:r>
    </w:p>
    <w:p w14:paraId="7B29DBDE" w14:textId="77777777" w:rsidR="00E80161" w:rsidRDefault="00E80161">
      <w:pPr>
        <w:pStyle w:val="ConsPlusNonformat"/>
        <w:jc w:val="both"/>
      </w:pPr>
      <w:r>
        <w:t xml:space="preserve">                                                        Минского городского</w:t>
      </w:r>
    </w:p>
    <w:p w14:paraId="0FE4D7C0" w14:textId="77777777" w:rsidR="00E80161" w:rsidRDefault="00E80161">
      <w:pPr>
        <w:pStyle w:val="ConsPlusNonformat"/>
        <w:jc w:val="both"/>
      </w:pPr>
      <w:r>
        <w:t xml:space="preserve">                                                        Совета депутатов</w:t>
      </w:r>
    </w:p>
    <w:p w14:paraId="59359D37" w14:textId="77777777" w:rsidR="00E80161" w:rsidRDefault="00E80161">
      <w:pPr>
        <w:pStyle w:val="ConsPlusNonformat"/>
        <w:jc w:val="both"/>
      </w:pPr>
      <w:r>
        <w:t xml:space="preserve">                                                        03.04.2013 N 322)</w:t>
      </w:r>
    </w:p>
    <w:p w14:paraId="78DD3738" w14:textId="77777777" w:rsidR="00E80161" w:rsidRDefault="00E80161">
      <w:pPr>
        <w:pStyle w:val="ConsPlusNormal"/>
        <w:ind w:firstLine="540"/>
        <w:jc w:val="both"/>
      </w:pPr>
    </w:p>
    <w:p w14:paraId="599C634B" w14:textId="77777777" w:rsidR="00E80161" w:rsidRDefault="00E80161">
      <w:pPr>
        <w:pStyle w:val="ConsPlusTitle"/>
        <w:jc w:val="center"/>
      </w:pPr>
      <w:bookmarkStart w:id="1" w:name="P40"/>
      <w:bookmarkEnd w:id="1"/>
      <w:r>
        <w:t>ИНСТРУКЦИЯ</w:t>
      </w:r>
    </w:p>
    <w:p w14:paraId="5F9A0923" w14:textId="77777777" w:rsidR="00E80161" w:rsidRDefault="00E80161">
      <w:pPr>
        <w:pStyle w:val="ConsPlusTitle"/>
        <w:jc w:val="center"/>
      </w:pPr>
      <w:r>
        <w:t>О ПОРЯДКЕ ПРОВЕДЕНИЯ СМОТРА-КОНКУРСА НА ЛУЧШУЮ ОРГАНИЗАЦИЮ РАБОТЫ КОЛЛЕГИАЛЬНЫХ ОРГАНОВ ТЕРРИТОРИАЛЬНОГО ОБЩЕСТВЕННОГО САМОУПРАВЛЕНИЯ ГОРОДА МИНСКА</w:t>
      </w:r>
    </w:p>
    <w:p w14:paraId="335D7C33" w14:textId="77777777" w:rsidR="00E80161" w:rsidRDefault="00E8016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Мингорсовета</w:t>
      </w:r>
      <w:proofErr w:type="spellEnd"/>
      <w:r>
        <w:t xml:space="preserve"> от 03.04.2013 N 322)</w:t>
      </w:r>
    </w:p>
    <w:p w14:paraId="24728D5E" w14:textId="77777777" w:rsidR="00E80161" w:rsidRDefault="00E80161">
      <w:pPr>
        <w:pStyle w:val="ConsPlusNormal"/>
        <w:ind w:firstLine="540"/>
        <w:jc w:val="both"/>
      </w:pPr>
    </w:p>
    <w:p w14:paraId="59A604A5" w14:textId="77777777" w:rsidR="00E80161" w:rsidRDefault="00E80161">
      <w:pPr>
        <w:pStyle w:val="ConsPlusNormal"/>
        <w:ind w:firstLine="540"/>
        <w:jc w:val="both"/>
      </w:pPr>
      <w:r>
        <w:t>1. Настоящая Инструкция определяет порядок проведения смотра-конкурса на лучшую организацию работы коллегиальных органов территориального общественного самоуправления (далее - КОТОС) города Минска (далее - смотр-конкурс) с целью повышения эффективности деятельности КОТОС в решении вопросов местного значения.</w:t>
      </w:r>
    </w:p>
    <w:p w14:paraId="510D224E" w14:textId="77777777" w:rsidR="00E80161" w:rsidRDefault="00E80161">
      <w:pPr>
        <w:pStyle w:val="ConsPlusNormal"/>
        <w:spacing w:before="220"/>
        <w:ind w:firstLine="540"/>
        <w:jc w:val="both"/>
      </w:pPr>
      <w:r>
        <w:t>2. Организаторами смотра-конкурса являются президиум Минского городского Совета депутатов и организационный комитет, создаваемый президиумом Минского городского Совета депутатов.</w:t>
      </w:r>
    </w:p>
    <w:p w14:paraId="7FE9E78B" w14:textId="77777777" w:rsidR="00E80161" w:rsidRDefault="00E80161">
      <w:pPr>
        <w:pStyle w:val="ConsPlusNormal"/>
        <w:spacing w:before="220"/>
        <w:ind w:firstLine="540"/>
        <w:jc w:val="both"/>
      </w:pPr>
      <w:r>
        <w:t>3. Смотр-конкурс проводится ежегодно в два этапа.</w:t>
      </w:r>
    </w:p>
    <w:p w14:paraId="4B64BE33" w14:textId="77777777" w:rsidR="00E80161" w:rsidRDefault="00E80161">
      <w:pPr>
        <w:pStyle w:val="ConsPlusNormal"/>
        <w:spacing w:before="220"/>
        <w:ind w:firstLine="540"/>
        <w:jc w:val="both"/>
      </w:pPr>
      <w:r>
        <w:t>4. Первый этап смотра-конкурса (районный уровень) предполагает проведение в каждом районе города Минска среди всех КОТОС ежеквартальных смотров-конкурсов на лучшую организацию работы КОТОС района (далее - ежеквартальный смотр-конкурс) и определение по итогам года лучшего КОТОС района.</w:t>
      </w:r>
    </w:p>
    <w:p w14:paraId="72E18A5C" w14:textId="77777777" w:rsidR="00E80161" w:rsidRDefault="00E80161">
      <w:pPr>
        <w:pStyle w:val="ConsPlusNormal"/>
        <w:spacing w:before="220"/>
        <w:ind w:firstLine="540"/>
        <w:jc w:val="both"/>
      </w:pPr>
      <w:r>
        <w:t>Организаторами первого этапа смотра-конкурса выступают Минский городской Совет депутатов и организационные комитеты, создаваемые администрациями районов в городе Минске.</w:t>
      </w:r>
    </w:p>
    <w:p w14:paraId="5185D179" w14:textId="77777777" w:rsidR="00E80161" w:rsidRDefault="00E80161">
      <w:pPr>
        <w:pStyle w:val="ConsPlusNormal"/>
        <w:spacing w:before="220"/>
        <w:ind w:firstLine="540"/>
        <w:jc w:val="both"/>
      </w:pPr>
      <w:r>
        <w:t>КОТОС каждого района представляют в администрацию соответствующего района в городе Минске в срок до 25-го числа последнего месяца отчетного квартала информацию о деятельности КОТОС для определения победителей ежеквартальных смотров-конкурсов, а также подведения итогов первого этапа смотра-конкурса.</w:t>
      </w:r>
    </w:p>
    <w:p w14:paraId="15C1F816" w14:textId="77777777" w:rsidR="00E80161" w:rsidRDefault="00E80161">
      <w:pPr>
        <w:pStyle w:val="ConsPlusNormal"/>
        <w:spacing w:before="220"/>
        <w:ind w:firstLine="540"/>
        <w:jc w:val="both"/>
      </w:pPr>
      <w:r>
        <w:t>Определение победителей ежеквартальных смотров-конкурсов, а также подведение итогов первого этапа смотра-конкурса осуществляется на заседаниях администраций районов в городе Минске.</w:t>
      </w:r>
    </w:p>
    <w:p w14:paraId="4D571166" w14:textId="77777777" w:rsidR="00E80161" w:rsidRDefault="00E80161">
      <w:pPr>
        <w:pStyle w:val="ConsPlusNormal"/>
        <w:spacing w:before="220"/>
        <w:ind w:firstLine="540"/>
        <w:jc w:val="both"/>
      </w:pPr>
      <w:bookmarkStart w:id="2" w:name="P51"/>
      <w:bookmarkEnd w:id="2"/>
      <w:r>
        <w:t>5. При определении победителей ежеквартальных смотров-конкурсов, а также подведении итогов первого этапа смотра-конкурса учитываются следующие направления деятельности КОТОС:</w:t>
      </w:r>
    </w:p>
    <w:p w14:paraId="204352BE" w14:textId="77777777" w:rsidR="00E80161" w:rsidRDefault="00E80161">
      <w:pPr>
        <w:pStyle w:val="ConsPlusNormal"/>
        <w:spacing w:before="220"/>
        <w:ind w:firstLine="540"/>
        <w:jc w:val="both"/>
      </w:pPr>
      <w:r>
        <w:t>5.1. содействие в реализации прав, свобод и законных интересов граждан;</w:t>
      </w:r>
    </w:p>
    <w:p w14:paraId="51CA10F3" w14:textId="77777777" w:rsidR="00E80161" w:rsidRDefault="00E80161">
      <w:pPr>
        <w:pStyle w:val="ConsPlusNormal"/>
        <w:spacing w:before="220"/>
        <w:ind w:firstLine="540"/>
        <w:jc w:val="both"/>
      </w:pPr>
      <w:r>
        <w:t>5.2. привлечение граждан к решению вопросов улучшения сохранности, эксплуатации, ремонта, благоустройства жилых домов и придомовых территорий;</w:t>
      </w:r>
    </w:p>
    <w:p w14:paraId="4FF91085" w14:textId="77777777" w:rsidR="00E80161" w:rsidRDefault="00E80161">
      <w:pPr>
        <w:pStyle w:val="ConsPlusNormal"/>
        <w:spacing w:before="220"/>
        <w:ind w:firstLine="540"/>
        <w:jc w:val="both"/>
      </w:pPr>
      <w:r>
        <w:t>5.3. участие в мероприятиях по социальной поддержке семей и различных категорий граждан, нуждающихся в такой поддержке (детей, молодежи, пожилых людей, инвалидов и других);</w:t>
      </w:r>
    </w:p>
    <w:p w14:paraId="20FB9AC8" w14:textId="77777777" w:rsidR="00E80161" w:rsidRDefault="00E80161">
      <w:pPr>
        <w:pStyle w:val="ConsPlusNormal"/>
        <w:spacing w:before="220"/>
        <w:ind w:firstLine="540"/>
        <w:jc w:val="both"/>
      </w:pPr>
      <w:r>
        <w:t>5.4. содействие в организации досуга граждан;</w:t>
      </w:r>
    </w:p>
    <w:p w14:paraId="6F6DA3AD" w14:textId="77777777" w:rsidR="00E80161" w:rsidRDefault="00E80161">
      <w:pPr>
        <w:pStyle w:val="ConsPlusNormal"/>
        <w:spacing w:before="220"/>
        <w:ind w:firstLine="540"/>
        <w:jc w:val="both"/>
      </w:pPr>
      <w:r>
        <w:lastRenderedPageBreak/>
        <w:t>5.5. участие в организации работы с неблагополучными семьями;</w:t>
      </w:r>
    </w:p>
    <w:p w14:paraId="5C2D0674" w14:textId="77777777" w:rsidR="00E80161" w:rsidRDefault="00E80161">
      <w:pPr>
        <w:pStyle w:val="ConsPlusNormal"/>
        <w:spacing w:before="220"/>
        <w:ind w:firstLine="540"/>
        <w:jc w:val="both"/>
      </w:pPr>
      <w:r>
        <w:t>5.6. содействие уполномоченным органам в осуществлении деятельности по профилактике правонарушений;</w:t>
      </w:r>
    </w:p>
    <w:p w14:paraId="465D6B7A" w14:textId="77777777" w:rsidR="00E80161" w:rsidRDefault="00E80161">
      <w:pPr>
        <w:pStyle w:val="ConsPlusNormal"/>
        <w:spacing w:before="220"/>
        <w:ind w:firstLine="540"/>
        <w:jc w:val="both"/>
      </w:pPr>
      <w:r>
        <w:t>5.7. содействие в решении иных вопросов местного значения.</w:t>
      </w:r>
    </w:p>
    <w:p w14:paraId="08F11146" w14:textId="77777777" w:rsidR="00E80161" w:rsidRDefault="00E80161">
      <w:pPr>
        <w:pStyle w:val="ConsPlusNormal"/>
        <w:spacing w:before="220"/>
        <w:ind w:firstLine="540"/>
        <w:jc w:val="both"/>
      </w:pPr>
      <w:bookmarkStart w:id="3" w:name="P59"/>
      <w:bookmarkEnd w:id="3"/>
      <w:r>
        <w:t xml:space="preserve">6. Оценка организации работы КОТОС для определения победителей ежеквартальных смотров-конкурсов, а также определения лучшего КОТОС района по итогам года производится по балльной системе. Максимальное количество баллов, присуждаемых за организацию работы по каждому из направлений деятельности КОТОС, указанных в </w:t>
      </w:r>
      <w:hyperlink w:anchor="P51" w:history="1">
        <w:r>
          <w:rPr>
            <w:color w:val="0000FF"/>
          </w:rPr>
          <w:t>пункте 5</w:t>
        </w:r>
      </w:hyperlink>
      <w:r>
        <w:t xml:space="preserve"> настоящей Инструкции, - 20 баллов.</w:t>
      </w:r>
    </w:p>
    <w:p w14:paraId="233057C3" w14:textId="77777777" w:rsidR="00E80161" w:rsidRDefault="00E80161">
      <w:pPr>
        <w:pStyle w:val="ConsPlusNormal"/>
        <w:spacing w:before="220"/>
        <w:ind w:firstLine="540"/>
        <w:jc w:val="both"/>
      </w:pPr>
      <w:r>
        <w:t>Победителями ежеквартальных смотров-конкурсов признаются КОТОС, набравшие наибольшее количество баллов, а лучшим по итогам года признается КОТОС района, занявший первое призовое место с наибольшим количеством набранных баллов.</w:t>
      </w:r>
    </w:p>
    <w:p w14:paraId="10A3A990" w14:textId="77777777" w:rsidR="00E80161" w:rsidRDefault="00E80161">
      <w:pPr>
        <w:pStyle w:val="ConsPlusNormal"/>
        <w:spacing w:before="220"/>
        <w:ind w:firstLine="540"/>
        <w:jc w:val="both"/>
      </w:pPr>
      <w:r>
        <w:t>7. Количество призовых мест района предусматривается исходя из количества зарегистрированных администрацией района в городе Минске КОТОС в границах обслуживания каждой организации, осуществляющей эксплуатацию жилищного фонда и (или) предоставляющей жилищно-коммунальные услуги на территории района, отдельно (при наличии нескольких организаций, осуществляющих эксплуатацию жилищного фонда и (или) предоставляющих жилищно-коммунальные услуги на территории района, количество призовых мест района кратно увеличивается на количество организаций, осуществляющих эксплуатацию жилищного фонда и (или) предоставляющих жилищно-коммунальные услуги).</w:t>
      </w:r>
    </w:p>
    <w:p w14:paraId="71ACA4FE" w14:textId="77777777" w:rsidR="00E80161" w:rsidRDefault="00E80161">
      <w:pPr>
        <w:pStyle w:val="ConsPlusNormal"/>
        <w:spacing w:before="220"/>
        <w:ind w:firstLine="540"/>
        <w:jc w:val="both"/>
      </w:pPr>
      <w:r>
        <w:t>Для поощрения победителей ежеквартальных смотров-конкурсов устанавливаются следующие призовые места:</w:t>
      </w:r>
    </w:p>
    <w:p w14:paraId="0742A082" w14:textId="77777777" w:rsidR="00E80161" w:rsidRDefault="00E80161">
      <w:pPr>
        <w:pStyle w:val="ConsPlusNormal"/>
        <w:spacing w:before="220"/>
        <w:ind w:firstLine="540"/>
        <w:jc w:val="both"/>
      </w:pPr>
      <w:r>
        <w:t>по одному первому месту при количестве КОТОС в границах обслуживания организации, осуществляющей эксплуатацию жилищного фонда и (или) предоставляющей жилищно-коммунальные услуги на территории района, не более пяти;</w:t>
      </w:r>
    </w:p>
    <w:p w14:paraId="22145500" w14:textId="77777777" w:rsidR="00E80161" w:rsidRDefault="00E80161">
      <w:pPr>
        <w:pStyle w:val="ConsPlusNormal"/>
        <w:spacing w:before="220"/>
        <w:ind w:firstLine="540"/>
        <w:jc w:val="both"/>
      </w:pPr>
      <w:r>
        <w:t>по одному первому, второму и третьему местам при количестве КОТОС в границах обслуживания организации, осуществляющей эксплуатацию жилищного фонда и (или) предоставляющей жилищно-коммунальные услуги на территории района, от пяти до десяти;</w:t>
      </w:r>
    </w:p>
    <w:p w14:paraId="010D9634" w14:textId="77777777" w:rsidR="00E80161" w:rsidRDefault="00E80161">
      <w:pPr>
        <w:pStyle w:val="ConsPlusNormal"/>
        <w:spacing w:before="220"/>
        <w:ind w:firstLine="540"/>
        <w:jc w:val="both"/>
      </w:pPr>
      <w:r>
        <w:t>по одному первому, два вторых и три третьих места при количестве КОТОС в границах обслуживания организации, осуществляющей эксплуатацию жилищного фонда и (или) предоставляющей жилищно-коммунальные услуги на территории района, более десяти.</w:t>
      </w:r>
    </w:p>
    <w:p w14:paraId="0147FB06" w14:textId="77777777" w:rsidR="00E80161" w:rsidRDefault="00E80161">
      <w:pPr>
        <w:pStyle w:val="ConsPlusNormal"/>
        <w:spacing w:before="220"/>
        <w:ind w:firstLine="540"/>
        <w:jc w:val="both"/>
      </w:pPr>
      <w:r>
        <w:t>8. Размер премии ежеквартального смотра-конкурса составляет:</w:t>
      </w:r>
    </w:p>
    <w:p w14:paraId="4175B626" w14:textId="77777777" w:rsidR="00E80161" w:rsidRDefault="00E80161">
      <w:pPr>
        <w:pStyle w:val="ConsPlusNormal"/>
        <w:spacing w:before="220"/>
        <w:ind w:firstLine="540"/>
        <w:jc w:val="both"/>
      </w:pPr>
      <w:r>
        <w:t>за первое место - 80 базовых величин;</w:t>
      </w:r>
    </w:p>
    <w:p w14:paraId="5BD9B225" w14:textId="77777777" w:rsidR="00E80161" w:rsidRDefault="00E80161">
      <w:pPr>
        <w:pStyle w:val="ConsPlusNormal"/>
        <w:spacing w:before="220"/>
        <w:ind w:firstLine="540"/>
        <w:jc w:val="both"/>
      </w:pPr>
      <w:r>
        <w:t>за второе место - 70 базовых величин;</w:t>
      </w:r>
    </w:p>
    <w:p w14:paraId="49941AF8" w14:textId="77777777" w:rsidR="00E80161" w:rsidRDefault="00E80161">
      <w:pPr>
        <w:pStyle w:val="ConsPlusNormal"/>
        <w:spacing w:before="220"/>
        <w:ind w:firstLine="540"/>
        <w:jc w:val="both"/>
      </w:pPr>
      <w:r>
        <w:t>за третье место - 60 базовых величин.</w:t>
      </w:r>
    </w:p>
    <w:p w14:paraId="51DB7AA7" w14:textId="77777777" w:rsidR="00E80161" w:rsidRDefault="00E80161">
      <w:pPr>
        <w:pStyle w:val="ConsPlusNormal"/>
        <w:spacing w:before="220"/>
        <w:ind w:firstLine="540"/>
        <w:jc w:val="both"/>
      </w:pPr>
      <w:r>
        <w:t>В случае если в границах обслуживания не каждой организации, осуществляющей эксплуатацию жилищного фонда и (или) предоставляющей жилищно-коммунальные услуги на части территории района, созданы и функционируют КОТОС, к размеру призовых премий применяется понижающий коэффициент в размере 0,8.</w:t>
      </w:r>
    </w:p>
    <w:p w14:paraId="6BFD3B59" w14:textId="77777777" w:rsidR="00E80161" w:rsidRDefault="00E80161">
      <w:pPr>
        <w:pStyle w:val="ConsPlusNormal"/>
        <w:spacing w:before="220"/>
        <w:ind w:firstLine="540"/>
        <w:jc w:val="both"/>
      </w:pPr>
      <w:r>
        <w:t>9. В ходе проведения второго этапа смотра-конкурса (городской уровень) участвуют КОТОС районов, признанные лучшими по итогам года.</w:t>
      </w:r>
    </w:p>
    <w:p w14:paraId="6CDAA7A3" w14:textId="77777777" w:rsidR="00E80161" w:rsidRDefault="00E80161">
      <w:pPr>
        <w:pStyle w:val="ConsPlusNormal"/>
        <w:spacing w:before="220"/>
        <w:ind w:firstLine="540"/>
        <w:jc w:val="both"/>
      </w:pPr>
      <w:r>
        <w:t xml:space="preserve">Администрации районов в городе Минске ежегодно представляют в срок до 20-го января года, </w:t>
      </w:r>
      <w:r>
        <w:lastRenderedPageBreak/>
        <w:t>следующего за годом проведения смотра-конкурса, в постоянную комиссию Минского городского Совета депутатов мандатную, по гласности, самоуправлению, правопорядку и международным связям информацию о деятельности лучших КОТОС района за прошедший год.</w:t>
      </w:r>
    </w:p>
    <w:p w14:paraId="1B5DFE0C" w14:textId="77777777" w:rsidR="00E80161" w:rsidRDefault="00E80161">
      <w:pPr>
        <w:pStyle w:val="ConsPlusNormal"/>
        <w:spacing w:before="220"/>
        <w:ind w:firstLine="540"/>
        <w:jc w:val="both"/>
      </w:pPr>
      <w:r>
        <w:t>10. Итоги второго этапа смотра-конкурса подводятся на заседании президиума Минского городского Совета депутатов на основании заключения, предоставленного постоянной комиссией Минского городского Совета депутатов мандатной, по гласности, самоуправлению, правопорядку и международным связям.</w:t>
      </w:r>
    </w:p>
    <w:p w14:paraId="7FE7C023" w14:textId="77777777" w:rsidR="00E80161" w:rsidRDefault="00E80161">
      <w:pPr>
        <w:pStyle w:val="ConsPlusNormal"/>
        <w:spacing w:before="220"/>
        <w:ind w:firstLine="540"/>
        <w:jc w:val="both"/>
      </w:pPr>
      <w:r>
        <w:t xml:space="preserve">11. Подведение итогов второго этапа смотра-конкурса осуществляется с учетом направлений деятельности КОТОС и порядка оценки организации работы КОТОС, предусмотренных </w:t>
      </w:r>
      <w:hyperlink w:anchor="P51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59" w:history="1">
        <w:r>
          <w:rPr>
            <w:color w:val="0000FF"/>
          </w:rPr>
          <w:t>6</w:t>
        </w:r>
      </w:hyperlink>
      <w:r>
        <w:t xml:space="preserve"> настоящей Инструкции.</w:t>
      </w:r>
    </w:p>
    <w:p w14:paraId="78C2FE3D" w14:textId="77777777" w:rsidR="00E80161" w:rsidRDefault="00E80161">
      <w:pPr>
        <w:pStyle w:val="ConsPlusNormal"/>
        <w:spacing w:before="220"/>
        <w:ind w:firstLine="540"/>
        <w:jc w:val="both"/>
      </w:pPr>
      <w:r>
        <w:t>Оценку проводит жюри смотра-конкурса. Жюри формируется из депутатов Минского городского Совета депутатов, членов постоянной комиссии мандатной, по гласности, самоуправлению, правопорядку и международным связям и работников структурных подразделений администраций районов в городе Минске и Минского городского исполнительного комитета по соответствующим направлениям деятельности.</w:t>
      </w:r>
    </w:p>
    <w:p w14:paraId="6BA0705B" w14:textId="77777777" w:rsidR="00E80161" w:rsidRDefault="00E80161">
      <w:pPr>
        <w:pStyle w:val="ConsPlusNormal"/>
        <w:spacing w:before="220"/>
        <w:ind w:firstLine="540"/>
        <w:jc w:val="both"/>
      </w:pPr>
      <w:r>
        <w:t>Члены жюри смотра-конкурса совершают объезд КОТОС и на местах знакомятся с их работой.</w:t>
      </w:r>
    </w:p>
    <w:p w14:paraId="05033931" w14:textId="77777777" w:rsidR="00E80161" w:rsidRDefault="00E80161">
      <w:pPr>
        <w:pStyle w:val="ConsPlusNormal"/>
        <w:spacing w:before="220"/>
        <w:ind w:firstLine="540"/>
        <w:jc w:val="both"/>
      </w:pPr>
      <w:r>
        <w:t>На заседании постоянной комиссии Минского городского Совета депутатов мандатной, по гласности, самоуправлению, правопорядку и международным связям по результатам объезда и результатам выставленных баллов каждым членом жюри смотра-конкурса подводятся предварительные итоги.</w:t>
      </w:r>
    </w:p>
    <w:p w14:paraId="67B5B017" w14:textId="77777777" w:rsidR="00E80161" w:rsidRDefault="00E80161">
      <w:pPr>
        <w:pStyle w:val="ConsPlusNormal"/>
        <w:spacing w:before="220"/>
        <w:ind w:firstLine="540"/>
        <w:jc w:val="both"/>
      </w:pPr>
      <w:r>
        <w:t>Итоги смотра-конкурса оформляются решением постоянной комиссии Минского городского Совета депутатов мандатной, по гласности, самоуправлению, правопорядку и международным связям.</w:t>
      </w:r>
    </w:p>
    <w:p w14:paraId="40315166" w14:textId="77777777" w:rsidR="00E80161" w:rsidRDefault="00E80161">
      <w:pPr>
        <w:pStyle w:val="ConsPlusNormal"/>
        <w:spacing w:before="220"/>
        <w:ind w:firstLine="540"/>
        <w:jc w:val="both"/>
      </w:pPr>
      <w:r>
        <w:t>На основании решения постоянной комиссии Минского городского Совета депутатов мандатной, по гласности, самоуправлению, правопорядку и международным связям президиум Минского городского Совета депутатов определяет победителей второго этапа смотра-конкурса.</w:t>
      </w:r>
    </w:p>
    <w:p w14:paraId="3F0C973D" w14:textId="77777777" w:rsidR="00E80161" w:rsidRDefault="00E80161">
      <w:pPr>
        <w:pStyle w:val="ConsPlusNormal"/>
        <w:spacing w:before="220"/>
        <w:ind w:firstLine="540"/>
        <w:jc w:val="both"/>
      </w:pPr>
      <w:r>
        <w:t>12. Победителями второго этапа смотра-конкурса признаются КОТОС, набравшие наибольшее количество баллов.</w:t>
      </w:r>
    </w:p>
    <w:p w14:paraId="6112C930" w14:textId="77777777" w:rsidR="00E80161" w:rsidRDefault="00E80161">
      <w:pPr>
        <w:pStyle w:val="ConsPlusNormal"/>
        <w:spacing w:before="220"/>
        <w:ind w:firstLine="540"/>
        <w:jc w:val="both"/>
      </w:pPr>
      <w:r>
        <w:t>13. Для поощрения победителей второго этапа смотра-конкурса устанавливаются одно первое, два вторых и три третьих призовых места.</w:t>
      </w:r>
    </w:p>
    <w:p w14:paraId="28BD21F6" w14:textId="77777777" w:rsidR="00E80161" w:rsidRDefault="00E80161">
      <w:pPr>
        <w:pStyle w:val="ConsPlusNormal"/>
        <w:spacing w:before="220"/>
        <w:ind w:firstLine="540"/>
        <w:jc w:val="both"/>
      </w:pPr>
      <w:r>
        <w:t>Размер премии составляет:</w:t>
      </w:r>
    </w:p>
    <w:p w14:paraId="7ACCA6F1" w14:textId="77777777" w:rsidR="00E80161" w:rsidRDefault="00E80161">
      <w:pPr>
        <w:pStyle w:val="ConsPlusNormal"/>
        <w:spacing w:before="220"/>
        <w:ind w:firstLine="540"/>
        <w:jc w:val="both"/>
      </w:pPr>
      <w:r>
        <w:t>за первое место - 90 базовых величин;</w:t>
      </w:r>
    </w:p>
    <w:p w14:paraId="182D5DD2" w14:textId="77777777" w:rsidR="00E80161" w:rsidRDefault="00E80161">
      <w:pPr>
        <w:pStyle w:val="ConsPlusNormal"/>
        <w:spacing w:before="220"/>
        <w:ind w:firstLine="540"/>
        <w:jc w:val="both"/>
      </w:pPr>
      <w:r>
        <w:t>за второе место - 80 базовых величин;</w:t>
      </w:r>
    </w:p>
    <w:p w14:paraId="1F74F4EB" w14:textId="77777777" w:rsidR="00E80161" w:rsidRDefault="00E80161">
      <w:pPr>
        <w:pStyle w:val="ConsPlusNormal"/>
        <w:spacing w:before="220"/>
        <w:ind w:firstLine="540"/>
        <w:jc w:val="both"/>
      </w:pPr>
      <w:r>
        <w:t>за третье место - 70 базовых величин.</w:t>
      </w:r>
    </w:p>
    <w:p w14:paraId="64E4949D" w14:textId="77777777" w:rsidR="00E80161" w:rsidRDefault="00E80161">
      <w:pPr>
        <w:pStyle w:val="ConsPlusNormal"/>
        <w:spacing w:before="220"/>
        <w:ind w:firstLine="540"/>
        <w:jc w:val="both"/>
      </w:pPr>
      <w:r>
        <w:t>В случае если в границах обслуживания не каждой организации, осуществляющей эксплуатацию жилищного фонда и (или) предоставляющей жилищно-коммунальные услуги на части территории района, созданы и функционируют КОТОС, к размеру призовых премий применяется понижающий коэффициент в размере 0,8.</w:t>
      </w:r>
    </w:p>
    <w:p w14:paraId="3026428C" w14:textId="77777777" w:rsidR="00E80161" w:rsidRDefault="00E80161">
      <w:pPr>
        <w:pStyle w:val="ConsPlusNormal"/>
        <w:spacing w:before="220"/>
        <w:ind w:firstLine="540"/>
        <w:jc w:val="both"/>
      </w:pPr>
      <w:r>
        <w:t>14. Премии победителям выплачиваются из средств, предусмотренных в бюджете города Минска на указанные цели.</w:t>
      </w:r>
    </w:p>
    <w:p w14:paraId="46D3C3D5" w14:textId="77777777" w:rsidR="00E80161" w:rsidRDefault="00E80161">
      <w:pPr>
        <w:pStyle w:val="ConsPlusNormal"/>
        <w:spacing w:before="220"/>
        <w:ind w:firstLine="540"/>
        <w:jc w:val="both"/>
      </w:pPr>
      <w:r>
        <w:t>15. КОТОС полученные премии направляют:</w:t>
      </w:r>
    </w:p>
    <w:p w14:paraId="450CAD74" w14:textId="77777777" w:rsidR="00E80161" w:rsidRDefault="00E80161">
      <w:pPr>
        <w:pStyle w:val="ConsPlusNormal"/>
        <w:spacing w:before="220"/>
        <w:ind w:firstLine="540"/>
        <w:jc w:val="both"/>
      </w:pPr>
      <w:r>
        <w:lastRenderedPageBreak/>
        <w:t>на поощрение активистов КОТОС - 50 процентов премии;</w:t>
      </w:r>
    </w:p>
    <w:p w14:paraId="12670446" w14:textId="77777777" w:rsidR="00E80161" w:rsidRDefault="00E80161">
      <w:pPr>
        <w:pStyle w:val="ConsPlusNormal"/>
        <w:spacing w:before="220"/>
        <w:ind w:firstLine="540"/>
        <w:jc w:val="both"/>
      </w:pPr>
      <w:r>
        <w:t>на развитие материально-технической базы КОТОС - 50 процентов премии.</w:t>
      </w:r>
    </w:p>
    <w:p w14:paraId="151BAFB3" w14:textId="77777777" w:rsidR="00E80161" w:rsidRDefault="00E80161">
      <w:pPr>
        <w:pStyle w:val="ConsPlusNormal"/>
        <w:jc w:val="both"/>
      </w:pPr>
    </w:p>
    <w:p w14:paraId="62301754" w14:textId="77777777" w:rsidR="00E80161" w:rsidRDefault="00E80161">
      <w:pPr>
        <w:pStyle w:val="ConsPlusNormal"/>
        <w:jc w:val="both"/>
      </w:pPr>
    </w:p>
    <w:p w14:paraId="69FBDF49" w14:textId="77777777" w:rsidR="00E80161" w:rsidRDefault="00E801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EB1D154" w14:textId="77777777" w:rsidR="00E80161" w:rsidRDefault="00E80161">
      <w:pPr>
        <w:pStyle w:val="ConsPlusNormal"/>
        <w:jc w:val="both"/>
      </w:pPr>
    </w:p>
    <w:p w14:paraId="51F1E936" w14:textId="77777777" w:rsidR="00666F8B" w:rsidRPr="00E80161" w:rsidRDefault="00666F8B"/>
    <w:sectPr w:rsidR="00666F8B" w:rsidRPr="00E80161" w:rsidSect="00F848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61"/>
    <w:rsid w:val="003863CF"/>
    <w:rsid w:val="00666F8B"/>
    <w:rsid w:val="00E80161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9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80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80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801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80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80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DD1FB02DB606D317F87656D5A5EC27F51000B8FE9A6F902A26866F30B4C1C98B5E7347AF032F750FD9080470CE59E2F5FC8B038C281168309D049900x5z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Каранкевич</dc:creator>
  <cp:lastModifiedBy>Федюкова Екатерина Николаевна</cp:lastModifiedBy>
  <cp:revision>2</cp:revision>
  <dcterms:created xsi:type="dcterms:W3CDTF">2020-10-27T14:35:00Z</dcterms:created>
  <dcterms:modified xsi:type="dcterms:W3CDTF">2020-10-27T14:35:00Z</dcterms:modified>
</cp:coreProperties>
</file>